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«Государственное регулирование экономики»,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Регулирование в сфере государственных инвестиций и инвестиционной деятельности</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регулирование экономики»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08.041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УПРАВЛЕНИЯ ПРОЕКТАМИ ГОСУДАРСТВЕННО- ЧАСТНОГО ПАРТНЕРСТВА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283.3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«Государственное регулирование экономики»;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«Регулирование в сфере государственных инвестиций и инвестиционной деятельности» в течение 2024- 2025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«Регулирование в сфере государственных инвестиций и инвестиционной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«Регулирование в сфере государственных инвестиций и инвестиционной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Способностью к регулированию в сфере государственных инвестиций и инвестиционной деятельности, института государственно-частного партнерства</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методики оценки инвестиционной привлекательности проекта (чистая приведенная стоимость, простой период окупаемости, дисконтированный период окупаемости, внутренняя норма доходности, коэффициенты покрытия долга)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методики оценки бюджетной эффективности (показатели дисконтированной бюджетной эффективности, индекс бюджетной эффективности, период окупаемости проекта для бюджета, дисконтированный период окупаемости проекта для бюджета)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основные механизмы финансирования инвестиционных проектов государственно-частного партнерства / муниципально-частного партнерства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методики оценки коммерческой привлекательности инвестиционного проекта «чистая приведенная стоимость, период окупаемости, внутренняя норма доходности, коэффициенты покрытия долга и т.п)</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знать  основные положения и критерии заключения инвестиционного соглашения между частным инвестором и органом государственной власти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знать  основные формы и виды оказания государственной поддержки российским и зарубежным организациям в реализации инвестиционных проектов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знать понятия и направления рейтинга Всемирного банка Doing Business, а также методику оценки Всемирным банком стран по показателям рейтинга Doing Business</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знать методология формирования национального рейтинга состояния инвестиционного климата в субъектах Российской Федерации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уметь применять знания методик оценки инвестиционной привлекательности проекта (чистая приведенная стоимость, простой период окупаемости, дисконтированный период окупаемости, внутренняя норма доходности, коэффициенты покрытия долга)</w:t>
            </w:r>
          </w:p>
        </w:tc>
      </w:tr>
      <w:tr>
        <w:trPr>
          <w:trHeight w:hRule="exact" w:val="761.4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уметь применять  знания методик оценки бюджетной эффективности (показатели дисконтированной бюджетной эффективности, индекс бюджетной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эффективности, период окупаемости проекта для бюджета, дисконтированный период окупаемости проекта для бюджета)</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уметь  разрабатывать нормативные правовые акты в сфере совершенствования регулирования осуществления иностранных инвестиций в России</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уметь анализировать инвестици-онные проекты и координировать сопровождение инвестиционной деятельности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уметь  взаимодействовать с иностранными инвесторами по различным сферам деятельности Минэкономразвития России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уметь  разрабатывать предложения по совершенствованию нормативно- правового регулирования инвестиционной деятельности и привлечения иностранных инвестиций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ПК-1.23 уметь  разрабатывать аналитические справки о состоянии инвестиционной деятельности в Российской Федерации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уметь  рассматривать обращения предпринимателей и граждан в сфере инвестиционной политики и привлечения инвестиций, а также защиты прав инвесторов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ПК-1.28 уметь  составлять  прогнозные формы финансовой отчётности инвестиционных проектов (денежные потоки проекта, налоговые и иные обязательные платежи применительно к выбранной юридической схеме проекта)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ПК-1.32 владеть навыками применения  методики оценки инвестиционной привлекательности проекта (чистая приведенная стоимость, простой период окупаемости, дисконтированный период окупаемости, внутренняя норма доходности, коэффициенты покрытия долга)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ПК-1.34 владеть навыками применения  методики оценки бюджетной эффективности (показатели дисконтированной бюджетной эффективности, индекс бюджетной эффективности, период окупаемости проекта для бюджета, дисконтированный период окупаемости проекта для бюджета)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ПК-1.35 владеть навыками применения механизмов финансирования инвестиционных проектов государственно-частного партнерства / муниципально-частного партнерства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ПК-1.39 владеть навыками заключения инвестиционного соглашения между частным инвестором и органом государственной власти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ПК-1.40 владеть навыками оказания государственной поддержки российским и зарубежным организациям в реализации инвестиционных проектов</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этапы жизненного цикла проекта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методы управления и оценки эффективности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формулировать на основе поставленной проблемы проектную задачу  и способ ее решения через реализацию проектного управления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разрабатывать концепцию проекта в рамках обозначенной проблемы: формулировать цель, задачи, обосновывать актуальность, значимость, ожидаемые результаты и возможные сферы их применения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навыками определения целевых показателей и направлений работ на всех этапах жизненного цикла проекта, планировать необходимые ресурсы, в том числе с учетом их заменимости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методами осуществления мониторинга хода реализации проекта, корректировки отклонения, внесения дополнительных изменений в план реализации проекта, уточнения зоны ответственности участников проекта</w:t>
            </w:r>
          </w:p>
        </w:tc>
      </w:tr>
      <w:tr>
        <w:trPr>
          <w:trHeight w:hRule="exact" w:val="416.7446"/>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178.39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«Регулирование в сфере государственных инвестиций и инвестиционной деятельности» относится к обязательной части, является дисциплиной Блока Б1. «Дисциплины (модули)». Модуль "Институт государственно-частного партнерства, регулирование в сфере государственных инвестиций и инвестиционной деятельности"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Антикоррупционная политика на государственной и муниципальной службе</w:t>
            </w:r>
          </w:p>
          <w:p>
            <w:pPr>
              <w:jc w:val="center"/>
              <w:spacing w:after="0" w:line="240" w:lineRule="auto"/>
              <w:rPr>
                <w:sz w:val="22"/>
                <w:szCs w:val="22"/>
              </w:rPr>
            </w:pPr>
            <w:r>
              <w:rPr>
                <w:rFonts w:ascii="Times New Roman" w:hAnsi="Times New Roman" w:cs="Times New Roman"/>
                <w:color w:val="#000000"/>
                <w:sz w:val="22"/>
                <w:szCs w:val="22"/>
              </w:rPr>
              <w:t> Государственно-частное партнерство в различных отраслях экономики</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Теория систем и системный анализ (продвинутый уровень)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Планирование и организация проекта государственно-частного партнерства</w:t>
            </w:r>
          </w:p>
          <w:p>
            <w:pPr>
              <w:jc w:val="center"/>
              <w:spacing w:after="0" w:line="240" w:lineRule="auto"/>
              <w:rPr>
                <w:sz w:val="22"/>
                <w:szCs w:val="22"/>
              </w:rPr>
            </w:pPr>
            <w:r>
              <w:rPr>
                <w:rFonts w:ascii="Times New Roman" w:hAnsi="Times New Roman" w:cs="Times New Roman"/>
                <w:color w:val="#000000"/>
                <w:sz w:val="22"/>
                <w:szCs w:val="22"/>
              </w:rPr>
              <w:t> Мониторинг и контроль исполнения проектов государственно-частного партнерства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ПК-1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Партнерство государства и бизнеса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Партнерство как форма взаимодействия государства и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и эволюция стратегий взаимодействия государства и бизнеса в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государственными инвестициями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и нормативные основы инвестиционной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Методики оценки эффективности инвестиций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Денежный поток от инвестиционного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Выбор проектов и формирование инвестиционной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310.5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Партнерство как форма взаимодействия государства и бизнеса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Институциональные схемы формирования партнёрства. Институты развития и их инструменты.</w:t>
            </w:r>
          </w:p>
          <w:p>
            <w:pPr>
              <w:jc w:val="both"/>
              <w:spacing w:after="0" w:line="240" w:lineRule="auto"/>
              <w:rPr>
                <w:sz w:val="24"/>
                <w:szCs w:val="24"/>
              </w:rPr>
            </w:pPr>
            <w:r>
              <w:rPr>
                <w:rFonts w:ascii="Times New Roman" w:hAnsi="Times New Roman" w:cs="Times New Roman"/>
                <w:color w:val="#000000"/>
                <w:sz w:val="24"/>
                <w:szCs w:val="24"/>
              </w:rPr>
              <w:t> Основные принципы партнерства: баланс экономических интересов, рисков, выгод. Механизмы поддержания баланса интересов и рисков в долгосрочных контрактах.</w:t>
            </w:r>
          </w:p>
          <w:p>
            <w:pPr>
              <w:jc w:val="both"/>
              <w:spacing w:after="0" w:line="240" w:lineRule="auto"/>
              <w:rPr>
                <w:sz w:val="24"/>
                <w:szCs w:val="24"/>
              </w:rPr>
            </w:pPr>
            <w:r>
              <w:rPr>
                <w:rFonts w:ascii="Times New Roman" w:hAnsi="Times New Roman" w:cs="Times New Roman"/>
                <w:color w:val="#000000"/>
                <w:sz w:val="24"/>
                <w:szCs w:val="24"/>
              </w:rPr>
              <w:t> Основные формы партнерства: государственные контракты, аренда государственного имущества, соглашения о разделе продукции, совместные государственно-частные предприятия, концессии.</w:t>
            </w:r>
          </w:p>
          <w:p>
            <w:pPr>
              <w:jc w:val="both"/>
              <w:spacing w:after="0" w:line="240" w:lineRule="auto"/>
              <w:rPr>
                <w:sz w:val="24"/>
                <w:szCs w:val="24"/>
              </w:rPr>
            </w:pPr>
            <w:r>
              <w:rPr>
                <w:rFonts w:ascii="Times New Roman" w:hAnsi="Times New Roman" w:cs="Times New Roman"/>
                <w:color w:val="#000000"/>
                <w:sz w:val="24"/>
                <w:szCs w:val="24"/>
              </w:rPr>
              <w:t> Партнерство с участием международного бизнеса.</w:t>
            </w:r>
          </w:p>
          <w:p>
            <w:pPr>
              <w:jc w:val="both"/>
              <w:spacing w:after="0" w:line="240" w:lineRule="auto"/>
              <w:rPr>
                <w:sz w:val="24"/>
                <w:szCs w:val="24"/>
              </w:rPr>
            </w:pPr>
            <w:r>
              <w:rPr>
                <w:rFonts w:ascii="Times New Roman" w:hAnsi="Times New Roman" w:cs="Times New Roman"/>
                <w:color w:val="#000000"/>
                <w:sz w:val="24"/>
                <w:szCs w:val="24"/>
              </w:rPr>
              <w:t> Тенденции и перспективы развития государственно-частного партнерства в РФ.</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и нормативные основы инвестиционной деятельности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инвестиционной деятельности и инвестиций. Классификация инвестиций в зависимости от формы инвестиционного товара. Объекты инвестиционной деятельности. Субъекты инвестиционной деятельности. Прямые и реальные инвестиции, капитальные вложения, капиталообразующие и портфельные инвестиции. Инвестиционный портфель.</w:t>
            </w:r>
          </w:p>
          <w:p>
            <w:pPr>
              <w:jc w:val="both"/>
              <w:spacing w:after="0" w:line="240" w:lineRule="auto"/>
              <w:rPr>
                <w:sz w:val="24"/>
                <w:szCs w:val="24"/>
              </w:rPr>
            </w:pPr>
            <w:r>
              <w:rPr>
                <w:rFonts w:ascii="Times New Roman" w:hAnsi="Times New Roman" w:cs="Times New Roman"/>
                <w:color w:val="#000000"/>
                <w:sz w:val="24"/>
                <w:szCs w:val="24"/>
              </w:rPr>
              <w:t> Инвестиционный проект и источники его финансирования. Классификация проектов в зависимости от значимости. Глобальные, народнохозяйственные, крупномасштабные и локальные проекты. Жизненный цикл проекта, его фазы и основные этапы. Источники финансирования инвестиционного проекта. Внешние и внутренние средства, собственный и привлеченный капитал проекта.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Методики оценки эффективности инвестиций</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Методики определения эффективности инвестиций и их применение. Преимущества и недостатки их использования при оценке проектов.  Коммерческая, социальная, бюджетная ставка дисконта и ставка дисконта участника проекта. Эффективная и реальная ставка, их применение. Поправка на риск.</w:t>
            </w:r>
          </w:p>
          <w:p>
            <w:pPr>
              <w:jc w:val="both"/>
              <w:spacing w:after="0" w:line="240" w:lineRule="auto"/>
              <w:rPr>
                <w:sz w:val="24"/>
                <w:szCs w:val="24"/>
              </w:rPr>
            </w:pPr>
            <w:r>
              <w:rPr>
                <w:rFonts w:ascii="Times New Roman" w:hAnsi="Times New Roman" w:cs="Times New Roman"/>
                <w:color w:val="#000000"/>
                <w:sz w:val="24"/>
                <w:szCs w:val="24"/>
              </w:rPr>
              <w:t> Основные показатели эффективности инвестиционных проектов. Динамические показатели эффективности. Чистый доход. Чистая современная стоимость. Индекс прибыльности. Внутренняя норма доходности. Срок окупаемости.</w:t>
            </w:r>
          </w:p>
          <w:p>
            <w:pPr>
              <w:jc w:val="both"/>
              <w:spacing w:after="0" w:line="240" w:lineRule="auto"/>
              <w:rPr>
                <w:sz w:val="24"/>
                <w:szCs w:val="24"/>
              </w:rPr>
            </w:pPr>
            <w:r>
              <w:rPr>
                <w:rFonts w:ascii="Times New Roman" w:hAnsi="Times New Roman" w:cs="Times New Roman"/>
                <w:color w:val="#000000"/>
                <w:sz w:val="24"/>
                <w:szCs w:val="24"/>
              </w:rPr>
              <w:t> Дополнительные показатели эффективности проектов. Модифицированная внутренняя норма доходности. Методика определения. Экономический смысл, применение. Эквивалентный аннуитет. Экономический смысл и область применения.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и эволюция стратегий взаимодействия государства и бизнеса в современной России</w:t>
            </w:r>
          </w:p>
        </w:tc>
      </w:tr>
      <w:tr>
        <w:trPr>
          <w:trHeight w:hRule="exact" w:val="21.31518"/>
        </w:trPr>
        <w:tc>
          <w:tcPr>
            <w:tcW w:w="9640" w:type="dxa"/>
          </w:tcPr>
          <w:p/>
        </w:tc>
      </w:tr>
      <w:tr>
        <w:trPr>
          <w:trHeight w:hRule="exact" w:val="534.93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новой институциональной структуры хозяйства.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Институциональная среда взаимодействия государства и бизнеса.</w:t>
            </w:r>
          </w:p>
          <w:p>
            <w:pPr>
              <w:jc w:val="left"/>
              <w:spacing w:after="0" w:line="240" w:lineRule="auto"/>
              <w:rPr>
                <w:sz w:val="24"/>
                <w:szCs w:val="24"/>
              </w:rPr>
            </w:pPr>
            <w:r>
              <w:rPr>
                <w:rFonts w:ascii="Times New Roman" w:hAnsi="Times New Roman" w:cs="Times New Roman"/>
                <w:color w:val="#000000"/>
                <w:sz w:val="24"/>
                <w:szCs w:val="24"/>
              </w:rPr>
              <w:t> Рыночные институты в системе взаимодействия.</w:t>
            </w:r>
          </w:p>
          <w:p>
            <w:pPr>
              <w:jc w:val="left"/>
              <w:spacing w:after="0" w:line="240" w:lineRule="auto"/>
              <w:rPr>
                <w:sz w:val="24"/>
                <w:szCs w:val="24"/>
              </w:rPr>
            </w:pPr>
            <w:r>
              <w:rPr>
                <w:rFonts w:ascii="Times New Roman" w:hAnsi="Times New Roman" w:cs="Times New Roman"/>
                <w:color w:val="#000000"/>
                <w:sz w:val="24"/>
                <w:szCs w:val="24"/>
              </w:rPr>
              <w:t> Интересы государства и бизнеса. Противоречия интересов</w:t>
            </w:r>
          </w:p>
          <w:p>
            <w:pPr>
              <w:jc w:val="left"/>
              <w:spacing w:after="0" w:line="240" w:lineRule="auto"/>
              <w:rPr>
                <w:sz w:val="24"/>
                <w:szCs w:val="24"/>
              </w:rPr>
            </w:pPr>
            <w:r>
              <w:rPr>
                <w:rFonts w:ascii="Times New Roman" w:hAnsi="Times New Roman" w:cs="Times New Roman"/>
                <w:color w:val="#000000"/>
                <w:sz w:val="24"/>
                <w:szCs w:val="24"/>
              </w:rPr>
              <w:t> государства и бизнеса. Институциональные риски взаимодействия</w:t>
            </w:r>
          </w:p>
          <w:p>
            <w:pPr>
              <w:jc w:val="left"/>
              <w:spacing w:after="0" w:line="240" w:lineRule="auto"/>
              <w:rPr>
                <w:sz w:val="24"/>
                <w:szCs w:val="24"/>
              </w:rPr>
            </w:pPr>
            <w:r>
              <w:rPr>
                <w:rFonts w:ascii="Times New Roman" w:hAnsi="Times New Roman" w:cs="Times New Roman"/>
                <w:color w:val="#000000"/>
                <w:sz w:val="24"/>
                <w:szCs w:val="24"/>
              </w:rPr>
              <w:t> государства и бизнеса. Бюрократия. Коррупция.</w:t>
            </w:r>
          </w:p>
          <w:p>
            <w:pPr>
              <w:jc w:val="left"/>
              <w:spacing w:after="0" w:line="240" w:lineRule="auto"/>
              <w:rPr>
                <w:sz w:val="24"/>
                <w:szCs w:val="24"/>
              </w:rPr>
            </w:pPr>
            <w:r>
              <w:rPr>
                <w:rFonts w:ascii="Times New Roman" w:hAnsi="Times New Roman" w:cs="Times New Roman"/>
                <w:color w:val="#000000"/>
                <w:sz w:val="24"/>
                <w:szCs w:val="24"/>
              </w:rPr>
              <w:t> Функции государства и бизнеса. Взаимодействие государства и</w:t>
            </w:r>
          </w:p>
          <w:p>
            <w:pPr>
              <w:jc w:val="left"/>
              <w:spacing w:after="0" w:line="240" w:lineRule="auto"/>
              <w:rPr>
                <w:sz w:val="24"/>
                <w:szCs w:val="24"/>
              </w:rPr>
            </w:pPr>
            <w:r>
              <w:rPr>
                <w:rFonts w:ascii="Times New Roman" w:hAnsi="Times New Roman" w:cs="Times New Roman"/>
                <w:color w:val="#000000"/>
                <w:sz w:val="24"/>
                <w:szCs w:val="24"/>
              </w:rPr>
              <w:t> бизнеса как источник социально-экономического развития.</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Денежный поток от инвестиционного проекта</w:t>
            </w:r>
          </w:p>
        </w:tc>
      </w:tr>
      <w:tr>
        <w:trPr>
          <w:trHeight w:hRule="exact" w:val="21.31495"/>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исконтирование и выбор ставки дисконта. Современная и будущая стоимость. Метод сложного процента. Понятие дисконтирования и наращения. Коэффициент дисконтирования при стабильных и меняющихся ставках дисконта. Выбор ставки дисконта.</w:t>
            </w: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Выбор проектов и формирование инвестиционной программы</w:t>
            </w:r>
          </w:p>
        </w:tc>
      </w:tr>
      <w:tr>
        <w:trPr>
          <w:trHeight w:hRule="exact" w:val="21.31495"/>
        </w:trPr>
        <w:tc>
          <w:tcPr>
            <w:tcW w:w="285" w:type="dxa"/>
          </w:tcPr>
          <w:p/>
        </w:tc>
        <w:tc>
          <w:tcPr>
            <w:tcW w:w="9356" w:type="dxa"/>
          </w:tcPr>
          <w:p/>
        </w:tc>
      </w:tr>
      <w:tr>
        <w:trPr>
          <w:trHeight w:hRule="exact" w:val="3289.56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инвестиционной программы и подбор источников финансирования. Основные этапы формирования инвестиционной программы. Предварительный отбор проектов. Критерии отбора. Обязательность, кратность, зависимость проектов. Отбор проектов, конкурирующих за стандартные условия финансирования. Метод предельной стоимости капитала. Последовательность реализации метода. Окончательная оценка эффективности и целесообразности проектов с учетом условий финансирования. Оценка влияния инвестиционной программы в целом на рыночную стоимость организации.</w:t>
            </w:r>
          </w:p>
          <w:p>
            <w:pPr>
              <w:jc w:val="left"/>
              <w:spacing w:after="0" w:line="240" w:lineRule="auto"/>
              <w:rPr>
                <w:sz w:val="24"/>
                <w:szCs w:val="24"/>
              </w:rPr>
            </w:pPr>
            <w:r>
              <w:rPr>
                <w:rFonts w:ascii="Times New Roman" w:hAnsi="Times New Roman" w:cs="Times New Roman"/>
                <w:color w:val="#000000"/>
                <w:sz w:val="24"/>
                <w:szCs w:val="24"/>
              </w:rPr>
              <w:t> Выбор среди альтернативных проектов с разными сроками реализации. Метод эквивалентного аннуитета в оценках эффективности проектов.  Целесообразность его применения на этом этапе. Выбор среди альтернативных бездоходных проектов. Виды бездоходных проектов. Приведенные совокупные расходы и эквивалентные годовые расходы как критерии принятия решения. Условия применения.</w:t>
            </w: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«Регулирование в сфере государственных инвестиций и инвестиционной деятельности» / Кузнецова Е.К..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инвестициями:</w:t>
            </w:r>
            <w:r>
              <w:rPr/>
              <w:t xml:space="preserve"> </w:t>
            </w:r>
            <w:r>
              <w:rPr>
                <w:rFonts w:ascii="Times New Roman" w:hAnsi="Times New Roman" w:cs="Times New Roman"/>
                <w:color w:val="#000000"/>
                <w:sz w:val="24"/>
                <w:szCs w:val="24"/>
              </w:rPr>
              <w:t>инвестиции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инвестиционные</w:t>
            </w:r>
            <w:r>
              <w:rPr/>
              <w:t xml:space="preserve"> </w:t>
            </w:r>
            <w:r>
              <w:rPr>
                <w:rFonts w:ascii="Times New Roman" w:hAnsi="Times New Roman" w:cs="Times New Roman"/>
                <w:color w:val="#000000"/>
                <w:sz w:val="24"/>
                <w:szCs w:val="24"/>
              </w:rPr>
              <w:t>риски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реальном</w:t>
            </w:r>
            <w:r>
              <w:rPr/>
              <w:t xml:space="preserve"> </w:t>
            </w:r>
            <w:r>
              <w:rPr>
                <w:rFonts w:ascii="Times New Roman" w:hAnsi="Times New Roman" w:cs="Times New Roman"/>
                <w:color w:val="#000000"/>
                <w:sz w:val="24"/>
                <w:szCs w:val="24"/>
              </w:rPr>
              <w:t>секторе</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https://urait.ru/bcode/458850</w:t>
            </w:r>
            <w:r>
              <w:rPr/>
              <w:t xml:space="preserve"> </w:t>
            </w:r>
          </w:p>
        </w:tc>
      </w:tr>
      <w:tr>
        <w:trPr>
          <w:trHeight w:hRule="exact" w:val="304.5845"/>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Государственно-частное</w:t>
            </w:r>
            <w:r>
              <w:rPr/>
              <w:t xml:space="preserve"> </w:t>
            </w:r>
            <w:r>
              <w:rPr>
                <w:rFonts w:ascii="Times New Roman" w:hAnsi="Times New Roman" w:cs="Times New Roman"/>
                <w:color w:val="#000000"/>
                <w:sz w:val="24"/>
                <w:szCs w:val="24"/>
              </w:rPr>
              <w:t>партнерство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реализации</w:t>
            </w:r>
            <w:r>
              <w:rPr/>
              <w:t xml:space="preserve"> </w:t>
            </w:r>
            <w:r>
              <w:rPr>
                <w:rFonts w:ascii="Times New Roman" w:hAnsi="Times New Roman" w:cs="Times New Roman"/>
                <w:color w:val="#000000"/>
                <w:sz w:val="24"/>
                <w:szCs w:val="24"/>
              </w:rPr>
              <w:t>долгосрочных</w:t>
            </w:r>
            <w:r>
              <w:rPr/>
              <w:t xml:space="preserve"> </w:t>
            </w:r>
            <w:r>
              <w:rPr>
                <w:rFonts w:ascii="Times New Roman" w:hAnsi="Times New Roman" w:cs="Times New Roman"/>
                <w:color w:val="#000000"/>
                <w:sz w:val="24"/>
                <w:szCs w:val="24"/>
              </w:rPr>
              <w:t>инвестиционных</w:t>
            </w:r>
            <w:r>
              <w:rPr/>
              <w:t xml:space="preserve"> </w:t>
            </w:r>
            <w:r>
              <w:rPr>
                <w:rFonts w:ascii="Times New Roman" w:hAnsi="Times New Roman" w:cs="Times New Roman"/>
                <w:color w:val="#000000"/>
                <w:sz w:val="24"/>
                <w:szCs w:val="24"/>
              </w:rPr>
              <w:t>проектов</w:t>
            </w:r>
            <w:r>
              <w:rPr/>
              <w:t xml:space="preserve"> </w:t>
            </w:r>
            <w:r>
              <w:rPr>
                <w:rFonts w:ascii="Times New Roman" w:hAnsi="Times New Roman" w:cs="Times New Roman"/>
                <w:color w:val="#000000"/>
                <w:sz w:val="24"/>
                <w:szCs w:val="24"/>
              </w:rPr>
              <w:t>РФ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Тюлькина,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Государственно-частное</w:t>
            </w:r>
            <w:r>
              <w:rPr/>
              <w:t xml:space="preserve"> </w:t>
            </w:r>
            <w:r>
              <w:rPr>
                <w:rFonts w:ascii="Times New Roman" w:hAnsi="Times New Roman" w:cs="Times New Roman"/>
                <w:color w:val="#000000"/>
                <w:sz w:val="24"/>
                <w:szCs w:val="24"/>
              </w:rPr>
              <w:t>партнерство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реализации</w:t>
            </w:r>
            <w:r>
              <w:rPr/>
              <w:t xml:space="preserve"> </w:t>
            </w:r>
            <w:r>
              <w:rPr>
                <w:rFonts w:ascii="Times New Roman" w:hAnsi="Times New Roman" w:cs="Times New Roman"/>
                <w:color w:val="#000000"/>
                <w:sz w:val="24"/>
                <w:szCs w:val="24"/>
              </w:rPr>
              <w:t>долгосрочных</w:t>
            </w:r>
            <w:r>
              <w:rPr/>
              <w:t xml:space="preserve"> </w:t>
            </w:r>
            <w:r>
              <w:rPr>
                <w:rFonts w:ascii="Times New Roman" w:hAnsi="Times New Roman" w:cs="Times New Roman"/>
                <w:color w:val="#000000"/>
                <w:sz w:val="24"/>
                <w:szCs w:val="24"/>
              </w:rPr>
              <w:t>инвестиционных</w:t>
            </w:r>
            <w:r>
              <w:rPr/>
              <w:t xml:space="preserve"> </w:t>
            </w:r>
            <w:r>
              <w:rPr>
                <w:rFonts w:ascii="Times New Roman" w:hAnsi="Times New Roman" w:cs="Times New Roman"/>
                <w:color w:val="#000000"/>
                <w:sz w:val="24"/>
                <w:szCs w:val="24"/>
              </w:rPr>
              <w:t>проектов</w:t>
            </w:r>
            <w:r>
              <w:rPr/>
              <w:t xml:space="preserve"> </w:t>
            </w:r>
            <w:r>
              <w:rPr>
                <w:rFonts w:ascii="Times New Roman" w:hAnsi="Times New Roman" w:cs="Times New Roman"/>
                <w:color w:val="#000000"/>
                <w:sz w:val="24"/>
                <w:szCs w:val="24"/>
              </w:rPr>
              <w:t>РФ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978-5-4487-0719-3.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http://www.iprbookshop.ru/96555.html</w:t>
            </w:r>
            <w:r>
              <w:rPr/>
              <w:t xml:space="preserve"> </w:t>
            </w:r>
          </w:p>
        </w:tc>
      </w:tr>
      <w:tr>
        <w:trPr>
          <w:trHeight w:hRule="exact" w:val="555.6599"/>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инвестиционным</w:t>
            </w:r>
            <w:r>
              <w:rPr/>
              <w:t xml:space="preserve"> </w:t>
            </w:r>
            <w:r>
              <w:rPr>
                <w:rFonts w:ascii="Times New Roman" w:hAnsi="Times New Roman" w:cs="Times New Roman"/>
                <w:color w:val="#000000"/>
                <w:sz w:val="24"/>
                <w:szCs w:val="24"/>
              </w:rPr>
              <w:t>проектом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Холодкова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978-5-534-07049-1.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https://urait.ru/bcode/455166</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818.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96.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23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2024-2025_ФГОС3++2024_Маг-ЗФО-ГМУ(ГРЭ)(24)_plx_Регулирование в сфере государственных инвестиций и инвестиционной деятельности</dc:title>
  <dc:creator>FastReport.NET</dc:creator>
</cp:coreProperties>
</file>